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</w:t>
      </w:r>
      <w:r w:rsidR="001862C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</w:t>
      </w:r>
      <w:r w:rsidR="00A210EE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A210EE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1862C6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September 2020</w:t>
      </w:r>
    </w:p>
    <w:p w:rsidR="00A210EE" w:rsidRPr="005A083D" w:rsidRDefault="00A210EE" w:rsidP="00A210EE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A210EE" w:rsidRDefault="00A210EE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 w:rsidR="00A210EE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FRC346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A210EE" w:rsidRDefault="00A210EE" w:rsidP="00A210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The portion of the FRC3</w:t>
      </w:r>
      <w:r>
        <w:rPr>
          <w:rFonts w:asciiTheme="minorHAnsi" w:hAnsiTheme="minorHAnsi" w:cstheme="minorHAnsi"/>
          <w:sz w:val="20"/>
          <w:szCs w:val="20"/>
        </w:rPr>
        <w:t>46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 to be written down will be cash settled, through S</w:t>
      </w:r>
      <w:r>
        <w:rPr>
          <w:rFonts w:asciiTheme="minorHAnsi" w:hAnsiTheme="minorHAnsi" w:cstheme="minorHAnsi"/>
          <w:sz w:val="20"/>
          <w:szCs w:val="20"/>
        </w:rPr>
        <w:t>TRATE</w:t>
      </w:r>
      <w:r w:rsidRPr="000F6F6A">
        <w:rPr>
          <w:rFonts w:asciiTheme="minorHAnsi" w:hAnsiTheme="minorHAnsi" w:cstheme="minorHAnsi"/>
          <w:sz w:val="20"/>
          <w:szCs w:val="20"/>
        </w:rPr>
        <w:t xml:space="preserve">, with the amount of cash payable to investors announced on SENS in due course. The record date in respect of the credit event will be </w:t>
      </w:r>
      <w:r>
        <w:rPr>
          <w:rFonts w:asciiTheme="minorHAnsi" w:hAnsiTheme="minorHAnsi" w:cstheme="minorHAnsi"/>
          <w:sz w:val="20"/>
          <w:szCs w:val="20"/>
        </w:rPr>
        <w:t>19 January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031958">
        <w:rPr>
          <w:rFonts w:asciiTheme="minorHAnsi" w:hAnsiTheme="minorHAnsi" w:cstheme="minorHAnsi"/>
          <w:sz w:val="20"/>
          <w:szCs w:val="20"/>
        </w:rPr>
        <w:t xml:space="preserve">, with a pay date of </w:t>
      </w:r>
      <w:r>
        <w:rPr>
          <w:rFonts w:asciiTheme="minorHAnsi" w:hAnsiTheme="minorHAnsi" w:cstheme="minorHAnsi"/>
          <w:sz w:val="20"/>
          <w:szCs w:val="20"/>
        </w:rPr>
        <w:t>20 January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031958">
        <w:rPr>
          <w:rFonts w:asciiTheme="minorHAnsi" w:hAnsiTheme="minorHAnsi" w:cstheme="minorHAnsi"/>
          <w:sz w:val="20"/>
          <w:szCs w:val="20"/>
        </w:rPr>
        <w:t>.</w:t>
      </w:r>
      <w:r w:rsidRPr="000F6F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10EE" w:rsidRPr="000F6F6A" w:rsidRDefault="00A210EE" w:rsidP="00A210E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10EE" w:rsidRPr="0078695E" w:rsidRDefault="00A210EE" w:rsidP="00A210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>The terms and conditions of the FRC34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78695E">
        <w:rPr>
          <w:rFonts w:asciiTheme="minorHAnsi" w:hAnsiTheme="minorHAnsi" w:cstheme="minorHAnsi"/>
          <w:sz w:val="20"/>
          <w:szCs w:val="20"/>
        </w:rPr>
        <w:t xml:space="preserve"> note will not be affected however, the following amendments to the applicable pricing supplements will be made as a result of the credit event: </w:t>
      </w:r>
    </w:p>
    <w:p w:rsidR="00A210EE" w:rsidRPr="0078695E" w:rsidRDefault="00A210EE" w:rsidP="00A210E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>1.</w:t>
      </w:r>
      <w:r w:rsidR="00235C38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78695E">
        <w:rPr>
          <w:rFonts w:asciiTheme="minorHAnsi" w:hAnsiTheme="minorHAnsi" w:cstheme="minorHAnsi"/>
          <w:sz w:val="20"/>
          <w:szCs w:val="20"/>
        </w:rPr>
        <w:t xml:space="preserve"> to remove </w:t>
      </w:r>
      <w:proofErr w:type="spellStart"/>
      <w:r>
        <w:rPr>
          <w:rFonts w:asciiTheme="minorHAnsi" w:hAnsiTheme="minorHAnsi" w:cstheme="minorHAnsi"/>
          <w:sz w:val="20"/>
          <w:szCs w:val="20"/>
        </w:rPr>
        <w:t>Europcar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Mobility Group SA</w:t>
      </w:r>
      <w:r w:rsidRPr="0078695E">
        <w:rPr>
          <w:rFonts w:asciiTheme="minorHAnsi" w:hAnsiTheme="minorHAnsi" w:cstheme="minorHAnsi"/>
          <w:sz w:val="20"/>
          <w:szCs w:val="20"/>
        </w:rPr>
        <w:t xml:space="preserve">, as a constituent of the underlying reference index, the </w:t>
      </w:r>
      <w:proofErr w:type="spellStart"/>
      <w:r w:rsidRPr="00A210EE">
        <w:rPr>
          <w:rFonts w:asciiTheme="minorHAnsi" w:hAnsiTheme="minorHAnsi" w:cstheme="minorHAnsi"/>
          <w:sz w:val="20"/>
          <w:szCs w:val="20"/>
        </w:rPr>
        <w:t>Markit</w:t>
      </w:r>
      <w:proofErr w:type="spellEnd"/>
      <w:r w:rsidRPr="00A210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10EE">
        <w:rPr>
          <w:rFonts w:asciiTheme="minorHAnsi" w:hAnsiTheme="minorHAnsi" w:cstheme="minorHAnsi"/>
          <w:sz w:val="20"/>
          <w:szCs w:val="20"/>
        </w:rPr>
        <w:t>iTraxx</w:t>
      </w:r>
      <w:proofErr w:type="spellEnd"/>
      <w:r w:rsidRPr="00A210EE">
        <w:rPr>
          <w:rFonts w:asciiTheme="minorHAnsi" w:hAnsiTheme="minorHAnsi" w:cstheme="minorHAnsi"/>
          <w:sz w:val="20"/>
          <w:szCs w:val="20"/>
        </w:rPr>
        <w:t>® Europe Crossover Index</w:t>
      </w:r>
      <w:r w:rsidRPr="0078695E">
        <w:rPr>
          <w:rFonts w:asciiTheme="minorHAnsi" w:hAnsiTheme="minorHAnsi" w:cstheme="minorHAnsi"/>
          <w:sz w:val="20"/>
          <w:szCs w:val="20"/>
        </w:rPr>
        <w:t xml:space="preserve">, &amp; to update the weightings in Annexure 2 of pricing supplement; </w:t>
      </w:r>
    </w:p>
    <w:p w:rsidR="00A210EE" w:rsidRPr="002700D7" w:rsidRDefault="00A210EE" w:rsidP="00A210EE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700D7">
        <w:rPr>
          <w:rFonts w:asciiTheme="minorHAnsi" w:hAnsiTheme="minorHAnsi" w:cstheme="minorHAnsi"/>
          <w:sz w:val="20"/>
          <w:szCs w:val="20"/>
        </w:rPr>
        <w:t xml:space="preserve">2. the Aggregate Nominal Amount in paragraph 7(a) of the relevant applicable pricing supplements will be amended to:  </w:t>
      </w:r>
    </w:p>
    <w:p w:rsidR="00A210EE" w:rsidRPr="000F6F6A" w:rsidRDefault="00A210EE" w:rsidP="00A210EE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0F6F6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>
        <w:rPr>
          <w:rFonts w:asciiTheme="minorHAnsi" w:hAnsiTheme="minorHAnsi" w:cstheme="minorHAnsi"/>
          <w:sz w:val="20"/>
          <w:szCs w:val="20"/>
        </w:rPr>
        <w:t>46</w:t>
      </w:r>
      <w:r w:rsidRPr="000F6F6A">
        <w:rPr>
          <w:rFonts w:asciiTheme="minorHAnsi" w:hAnsiTheme="minorHAnsi" w:cstheme="minorHAnsi"/>
          <w:sz w:val="20"/>
          <w:szCs w:val="20"/>
        </w:rPr>
        <w:t>, ZAR</w:t>
      </w:r>
      <w:r>
        <w:rPr>
          <w:rFonts w:asciiTheme="minorHAnsi" w:hAnsiTheme="minorHAnsi" w:cstheme="minorHAnsi"/>
          <w:sz w:val="20"/>
          <w:szCs w:val="20"/>
        </w:rPr>
        <w:t>49</w:t>
      </w:r>
      <w:r w:rsidRPr="000F6F6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>333</w:t>
      </w:r>
      <w:r w:rsidRPr="000F6F6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>333</w:t>
      </w:r>
      <w:r w:rsidRPr="000F6F6A">
        <w:rPr>
          <w:rFonts w:asciiTheme="minorHAnsi" w:hAnsiTheme="minorHAnsi" w:cstheme="minorHAnsi"/>
          <w:sz w:val="20"/>
          <w:szCs w:val="20"/>
        </w:rPr>
        <w:t>.00;</w:t>
      </w:r>
      <w:r>
        <w:rPr>
          <w:rFonts w:asciiTheme="minorHAnsi" w:hAnsiTheme="minorHAnsi" w:cstheme="minorHAnsi"/>
          <w:sz w:val="20"/>
          <w:szCs w:val="20"/>
        </w:rPr>
        <w:t xml:space="preserve"> and</w:t>
      </w:r>
    </w:p>
    <w:p w:rsidR="00A210EE" w:rsidRPr="000F6F6A" w:rsidRDefault="00A210EE" w:rsidP="00A210EE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</w:p>
    <w:p w:rsidR="00A210EE" w:rsidRDefault="00A210EE" w:rsidP="00A210EE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Number of Notes in paragraph 9 of the relevant applicable pricing supplements will be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amended to:</w:t>
      </w:r>
    </w:p>
    <w:p w:rsidR="00A210EE" w:rsidRDefault="00A210EE" w:rsidP="00A210EE">
      <w:pPr>
        <w:pStyle w:val="ListParagraph"/>
        <w:rPr>
          <w:rFonts w:asciiTheme="minorHAnsi" w:hAnsiTheme="minorHAnsi" w:cstheme="minorHAnsi"/>
        </w:rPr>
      </w:pPr>
    </w:p>
    <w:p w:rsidR="00A210EE" w:rsidRPr="000F6F6A" w:rsidRDefault="00A210EE" w:rsidP="00A210EE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0F6F6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>
        <w:rPr>
          <w:rFonts w:asciiTheme="minorHAnsi" w:hAnsiTheme="minorHAnsi" w:cstheme="minorHAnsi"/>
          <w:sz w:val="20"/>
          <w:szCs w:val="20"/>
        </w:rPr>
        <w:t>46</w:t>
      </w:r>
      <w:r w:rsidRPr="000F6F6A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49.33.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FRC346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210E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A210EE">
        <w:rPr>
          <w:rFonts w:asciiTheme="minorHAnsi" w:hAnsiTheme="minorHAnsi" w:cs="Arial"/>
          <w:highlight w:val="green"/>
          <w:lang w:val="en-ZA"/>
        </w:rPr>
        <w:tab/>
      </w:r>
      <w:r w:rsidRPr="00A210EE">
        <w:rPr>
          <w:rFonts w:asciiTheme="minorHAnsi" w:hAnsiTheme="minorHAnsi" w:cs="Arial"/>
          <w:highlight w:val="green"/>
          <w:lang w:val="en-ZA"/>
        </w:rPr>
        <w:t>R</w:t>
      </w:r>
      <w:r w:rsidR="009D63EC" w:rsidRPr="00A210EE">
        <w:rPr>
          <w:rFonts w:asciiTheme="minorHAnsi" w:hAnsiTheme="minorHAnsi" w:cs="Arial"/>
          <w:highlight w:val="green"/>
          <w:lang w:val="en-ZA"/>
        </w:rPr>
        <w:t xml:space="preserve"> </w:t>
      </w:r>
      <w:r w:rsidR="00E63826">
        <w:rPr>
          <w:rFonts w:asciiTheme="minorHAnsi" w:hAnsiTheme="minorHAnsi" w:cs="Arial"/>
          <w:highlight w:val="green"/>
          <w:lang w:val="en-ZA"/>
        </w:rPr>
        <w:t>49</w:t>
      </w:r>
      <w:r w:rsidRPr="00A210EE">
        <w:rPr>
          <w:rFonts w:asciiTheme="minorHAnsi" w:hAnsiTheme="minorHAnsi" w:cs="Arial"/>
          <w:highlight w:val="green"/>
          <w:lang w:val="en-ZA"/>
        </w:rPr>
        <w:t>,</w:t>
      </w:r>
      <w:r w:rsidR="00E63826">
        <w:rPr>
          <w:rFonts w:asciiTheme="minorHAnsi" w:hAnsiTheme="minorHAnsi" w:cs="Arial"/>
          <w:highlight w:val="green"/>
          <w:lang w:val="en-ZA"/>
        </w:rPr>
        <w:t>333</w:t>
      </w:r>
      <w:r w:rsidRPr="00A210EE">
        <w:rPr>
          <w:rFonts w:asciiTheme="minorHAnsi" w:hAnsiTheme="minorHAnsi" w:cs="Arial"/>
          <w:highlight w:val="green"/>
          <w:lang w:val="en-ZA"/>
        </w:rPr>
        <w:t>,</w:t>
      </w:r>
      <w:r w:rsidR="00E63826">
        <w:rPr>
          <w:rFonts w:asciiTheme="minorHAnsi" w:hAnsiTheme="minorHAnsi" w:cs="Arial"/>
          <w:highlight w:val="green"/>
          <w:lang w:val="en-ZA"/>
        </w:rPr>
        <w:t>333</w:t>
      </w:r>
      <w:r w:rsidRPr="00A210EE">
        <w:rPr>
          <w:rFonts w:asciiTheme="minorHAnsi" w:hAnsiTheme="minorHAnsi" w:cs="Arial"/>
          <w:highlight w:val="green"/>
          <w:lang w:val="en-ZA"/>
        </w:rPr>
        <w:t>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210EE">
        <w:rPr>
          <w:rFonts w:asciiTheme="minorHAnsi" w:hAnsiTheme="minorHAnsi" w:cs="Arial"/>
          <w:b/>
          <w:lang w:val="en-ZA"/>
        </w:rPr>
        <w:t>Coupon</w:t>
      </w:r>
      <w:r w:rsidR="007F4679" w:rsidRPr="00A210EE">
        <w:rPr>
          <w:rFonts w:asciiTheme="minorHAnsi" w:hAnsiTheme="minorHAnsi" w:cs="Arial"/>
          <w:b/>
          <w:lang w:val="en-ZA"/>
        </w:rPr>
        <w:tab/>
      </w:r>
      <w:r w:rsidR="00C61596" w:rsidRPr="00A210EE">
        <w:rPr>
          <w:rFonts w:asciiTheme="minorHAnsi" w:hAnsiTheme="minorHAnsi" w:cs="Arial"/>
          <w:lang w:val="en-ZA"/>
        </w:rPr>
        <w:t>7.07</w:t>
      </w:r>
      <w:r w:rsidRPr="00A210EE">
        <w:rPr>
          <w:rFonts w:asciiTheme="minorHAnsi" w:hAnsiTheme="minorHAnsi" w:cs="Arial"/>
          <w:lang w:val="en-ZA"/>
        </w:rPr>
        <w:t xml:space="preserve">% (3 Month JIBAR as at </w:t>
      </w:r>
      <w:r w:rsidR="009D63EC" w:rsidRPr="00A210EE">
        <w:rPr>
          <w:rFonts w:asciiTheme="minorHAnsi" w:hAnsiTheme="minorHAnsi" w:cs="Arial"/>
          <w:lang w:val="en-ZA"/>
        </w:rPr>
        <w:t>30 Sep 2020</w:t>
      </w:r>
      <w:r w:rsidRPr="00A210EE">
        <w:rPr>
          <w:rFonts w:asciiTheme="minorHAnsi" w:hAnsiTheme="minorHAnsi" w:cs="Arial"/>
          <w:lang w:val="en-ZA"/>
        </w:rPr>
        <w:t xml:space="preserve"> of </w:t>
      </w:r>
      <w:r w:rsidR="00C61596" w:rsidRPr="00A210EE">
        <w:rPr>
          <w:rFonts w:asciiTheme="minorHAnsi" w:hAnsiTheme="minorHAnsi" w:cs="Arial"/>
          <w:lang w:val="en-ZA"/>
        </w:rPr>
        <w:t>3.350</w:t>
      </w:r>
      <w:r w:rsidR="009D63EC" w:rsidRPr="00A210EE">
        <w:rPr>
          <w:rFonts w:asciiTheme="minorHAnsi" w:hAnsiTheme="minorHAnsi" w:cs="Arial"/>
          <w:lang w:val="en-ZA"/>
        </w:rPr>
        <w:t xml:space="preserve"> </w:t>
      </w:r>
      <w:r w:rsidRPr="00A210EE">
        <w:rPr>
          <w:rFonts w:asciiTheme="minorHAnsi" w:hAnsiTheme="minorHAnsi" w:cs="Arial"/>
          <w:lang w:val="en-ZA"/>
        </w:rPr>
        <w:t xml:space="preserve">% plus </w:t>
      </w:r>
      <w:r w:rsidR="009D63EC" w:rsidRPr="00A210EE">
        <w:rPr>
          <w:rFonts w:asciiTheme="minorHAnsi" w:hAnsiTheme="minorHAnsi" w:cs="Arial"/>
          <w:lang w:val="en-ZA"/>
        </w:rPr>
        <w:t>372</w:t>
      </w:r>
      <w:r w:rsidRPr="00A210EE">
        <w:rPr>
          <w:rFonts w:asciiTheme="minorHAnsi" w:hAnsiTheme="minorHAnsi" w:cs="Arial"/>
          <w:lang w:val="en-ZA"/>
        </w:rPr>
        <w:t>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="009D63EC"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9D63EC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210EE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A210EE">
        <w:rPr>
          <w:rFonts w:asciiTheme="minorHAnsi" w:hAnsiTheme="minorHAnsi" w:cs="Arial"/>
          <w:b/>
          <w:highlight w:val="green"/>
          <w:lang w:val="en-ZA"/>
        </w:rPr>
        <w:tab/>
      </w:r>
      <w:r w:rsidR="00E63826" w:rsidRPr="00E63826">
        <w:rPr>
          <w:rFonts w:asciiTheme="minorHAnsi" w:hAnsiTheme="minorHAnsi" w:cs="Arial"/>
          <w:highlight w:val="green"/>
          <w:lang w:val="en-ZA"/>
        </w:rPr>
        <w:t>2</w:t>
      </w:r>
      <w:r w:rsidRPr="00E63826">
        <w:rPr>
          <w:rFonts w:asciiTheme="minorHAnsi" w:hAnsiTheme="minorHAnsi" w:cs="Arial"/>
          <w:highlight w:val="green"/>
          <w:lang w:val="en-ZA"/>
        </w:rPr>
        <w:t xml:space="preserve">0 </w:t>
      </w:r>
      <w:r w:rsidR="00E63826" w:rsidRPr="00E63826">
        <w:rPr>
          <w:rFonts w:asciiTheme="minorHAnsi" w:hAnsiTheme="minorHAnsi" w:cs="Arial"/>
          <w:highlight w:val="green"/>
          <w:lang w:val="en-ZA"/>
        </w:rPr>
        <w:t>January</w:t>
      </w:r>
      <w:r w:rsidR="00E63826">
        <w:rPr>
          <w:rFonts w:asciiTheme="minorHAnsi" w:hAnsiTheme="minorHAnsi" w:cs="Arial"/>
          <w:highlight w:val="green"/>
          <w:lang w:val="en-ZA"/>
        </w:rPr>
        <w:t xml:space="preserve"> 2021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ZAG000171430</w:t>
      </w:r>
    </w:p>
    <w:p w:rsidR="007F4679" w:rsidRPr="00F64748" w:rsidRDefault="004D5A76" w:rsidP="00A210EE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9D63EC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A210EE" w:rsidRPr="00F64748" w:rsidRDefault="00A210EE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9D63EC" w:rsidP="00E638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210EE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210EE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235C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235C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34A3C"/>
    <w:multiLevelType w:val="hybridMultilevel"/>
    <w:tmpl w:val="AD74CC0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2C6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5C38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63EC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0EE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4149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1596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826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153DCA2"/>
  <w15:docId w15:val="{639FDA98-F1B4-4416-B4D4-A3D758D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A21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902C2BC-F51B-429B-8571-271464482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69A11-BDC7-498F-ADA6-0491186C6065}"/>
</file>

<file path=customXml/itemProps3.xml><?xml version="1.0" encoding="utf-8"?>
<ds:datastoreItem xmlns:ds="http://schemas.openxmlformats.org/officeDocument/2006/customXml" ds:itemID="{3EC35413-CAC2-4A3F-8D24-BDE0F0A90E33}"/>
</file>

<file path=customXml/itemProps4.xml><?xml version="1.0" encoding="utf-8"?>
<ds:datastoreItem xmlns:ds="http://schemas.openxmlformats.org/officeDocument/2006/customXml" ds:itemID="{2545999A-3102-439F-9C46-28E5589CC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2012-03-13T10:41:00Z</dcterms:created>
  <dcterms:modified xsi:type="dcterms:W3CDTF">2021-01-15T13:07:00Z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